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2140A1">
        <w:rPr>
          <w:rFonts w:ascii="Calibri Light" w:eastAsia="Arial Unicode MS" w:hAnsi="Calibri Light" w:cs="Calibri Light"/>
          <w:sz w:val="22"/>
          <w:szCs w:val="22"/>
        </w:rPr>
        <w:t>Rozbiórka budynku chlewni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2140A1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Rozbiórka budynku chlewni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2140A1" w:rsidRPr="002140A1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140A1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</w:t>
      </w:r>
      <w:r w:rsidR="002140A1">
        <w:rPr>
          <w:rFonts w:ascii="Calibri Light" w:eastAsia="Arial Unicode MS" w:hAnsi="Calibri Light" w:cs="Calibri Light"/>
          <w:noProof/>
          <w:sz w:val="22"/>
          <w:szCs w:val="22"/>
        </w:rPr>
        <w:t>nie dopuszcza fakturowania</w:t>
      </w:r>
      <w:r w:rsidRPr="002140A1">
        <w:rPr>
          <w:rFonts w:ascii="Calibri Light" w:eastAsia="Arial Unicode MS" w:hAnsi="Calibri Light" w:cs="Calibri Light"/>
          <w:noProof/>
          <w:sz w:val="22"/>
          <w:szCs w:val="22"/>
        </w:rPr>
        <w:t xml:space="preserve"> częściowe</w:t>
      </w:r>
      <w:r w:rsidR="002140A1">
        <w:rPr>
          <w:rFonts w:ascii="Calibri Light" w:eastAsia="Arial Unicode MS" w:hAnsi="Calibri Light" w:cs="Calibri Light"/>
          <w:noProof/>
          <w:sz w:val="22"/>
          <w:szCs w:val="22"/>
        </w:rPr>
        <w:t>go</w:t>
      </w:r>
      <w:r w:rsidRPr="002140A1">
        <w:rPr>
          <w:rFonts w:ascii="Calibri Light" w:eastAsia="Arial Unicode MS" w:hAnsi="Calibri Light" w:cs="Calibri Light"/>
          <w:noProof/>
          <w:sz w:val="22"/>
          <w:szCs w:val="22"/>
        </w:rPr>
        <w:t xml:space="preserve">. </w:t>
      </w:r>
    </w:p>
    <w:p w:rsidR="000A0B3D" w:rsidRPr="002140A1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140A1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przed podpisaniem umowy złożył kosztorys wskazujący sposób kalkulacji wynagrodzenia ryczałtowego (uwzględniający wszystkie przewidziane przedmiotem zamówienia branże) z wyszczególnieniem zastosowanych w kosztorysie ofertowym składników </w:t>
      </w:r>
      <w:r w:rsidRPr="002140A1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</w:t>
      </w:r>
      <w:r w:rsidR="00D0488E">
        <w:rPr>
          <w:rFonts w:ascii="Calibri Light" w:eastAsia="Arial Unicode MS" w:hAnsi="Calibri Light" w:cs="Calibri Light"/>
          <w:sz w:val="22"/>
          <w:szCs w:val="22"/>
        </w:rPr>
        <w:t xml:space="preserve">obę nadzorującą prace </w:t>
      </w:r>
      <w:r w:rsidR="003A6F2B">
        <w:rPr>
          <w:rFonts w:ascii="Calibri Light" w:eastAsia="Arial Unicode MS" w:hAnsi="Calibri Light" w:cs="Calibri Light"/>
          <w:sz w:val="22"/>
          <w:szCs w:val="22"/>
        </w:rPr>
        <w:t>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lastRenderedPageBreak/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="002140A1">
        <w:rPr>
          <w:rFonts w:ascii="Calibri Light" w:eastAsia="Arial Unicode MS" w:hAnsi="Calibri Light" w:cs="Calibri Light"/>
        </w:rPr>
        <w:t>najpóźniej w ciągu 2</w:t>
      </w:r>
      <w:r w:rsidRPr="00CB43DF">
        <w:rPr>
          <w:rFonts w:ascii="Calibri Light" w:eastAsia="Arial Unicode MS" w:hAnsi="Calibri Light" w:cs="Calibri Light"/>
        </w:rPr>
        <w:t xml:space="preserve">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2140A1">
        <w:rPr>
          <w:rFonts w:ascii="Calibri Light" w:eastAsia="Arial Unicode MS" w:hAnsi="Calibri Light" w:cs="Calibri Light"/>
          <w:sz w:val="22"/>
          <w:szCs w:val="22"/>
        </w:rPr>
        <w:t>2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Zamawiający pisemnie z</w:t>
      </w:r>
      <w:r w:rsidR="002140A1">
        <w:rPr>
          <w:rFonts w:ascii="Calibri Light" w:eastAsia="Arial Unicode MS" w:hAnsi="Calibri Light" w:cs="Calibri Light"/>
          <w:sz w:val="22"/>
          <w:szCs w:val="22"/>
        </w:rPr>
        <w:t>atwierdzi Harmonogram, w ciągu 2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Wykonawca będzie zobowiązany do uwzględnienia zgłoszonych uwag i przedłożenia Zamawiającemu popraw</w:t>
      </w:r>
      <w:r w:rsidR="002140A1">
        <w:rPr>
          <w:rFonts w:ascii="Calibri Light" w:eastAsia="Arial Unicode MS" w:hAnsi="Calibri Light" w:cs="Calibri Light"/>
          <w:sz w:val="22"/>
          <w:szCs w:val="22"/>
        </w:rPr>
        <w:t>ionego Harmonogramu w terminie 2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2140A1" w:rsidRPr="002140A1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EA38F5" w:rsidRPr="002140A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</w:t>
      </w:r>
      <w:r w:rsidR="002140A1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lastRenderedPageBreak/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 xml:space="preserve">kontroli jakości robót, ich </w:t>
      </w:r>
      <w:r w:rsidRPr="0098055D">
        <w:rPr>
          <w:rFonts w:ascii="Calibri Light" w:hAnsi="Calibri Light" w:cs="Calibri Light"/>
          <w:sz w:val="22"/>
          <w:szCs w:val="22"/>
        </w:rPr>
        <w:lastRenderedPageBreak/>
        <w:t>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6F39A5" w:rsidRPr="00F25207" w:rsidRDefault="00920CFC" w:rsidP="00F2520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D5" w:rsidRDefault="005172D5">
      <w:r>
        <w:separator/>
      </w:r>
    </w:p>
  </w:endnote>
  <w:endnote w:type="continuationSeparator" w:id="0">
    <w:p w:rsidR="005172D5" w:rsidRDefault="005172D5">
      <w:r>
        <w:continuationSeparator/>
      </w:r>
    </w:p>
  </w:endnote>
  <w:endnote w:type="continuationNotice" w:id="1">
    <w:p w:rsidR="005172D5" w:rsidRDefault="005172D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1F7977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1F7977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140A1">
      <w:rPr>
        <w:rFonts w:ascii="Arial" w:hAnsi="Arial" w:cs="Arial"/>
        <w:b/>
        <w:bCs/>
        <w:noProof/>
        <w:sz w:val="16"/>
        <w:szCs w:val="16"/>
      </w:rPr>
      <w:t>7</w:t>
    </w:r>
    <w:r w:rsidR="001F7977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1F7977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1F7977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2140A1">
      <w:rPr>
        <w:rFonts w:ascii="Arial" w:hAnsi="Arial" w:cs="Arial"/>
        <w:b/>
        <w:bCs/>
        <w:noProof/>
        <w:sz w:val="16"/>
        <w:szCs w:val="16"/>
      </w:rPr>
      <w:t>22</w:t>
    </w:r>
    <w:r w:rsidR="001F7977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D5" w:rsidRDefault="005172D5">
      <w:r>
        <w:separator/>
      </w:r>
    </w:p>
  </w:footnote>
  <w:footnote w:type="continuationSeparator" w:id="0">
    <w:p w:rsidR="005172D5" w:rsidRDefault="005172D5">
      <w:r>
        <w:continuationSeparator/>
      </w:r>
    </w:p>
  </w:footnote>
  <w:footnote w:type="continuationNotice" w:id="1">
    <w:p w:rsidR="005172D5" w:rsidRDefault="005172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2140A1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16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977"/>
    <w:rsid w:val="001F7A88"/>
    <w:rsid w:val="00200264"/>
    <w:rsid w:val="00203B46"/>
    <w:rsid w:val="00206494"/>
    <w:rsid w:val="002068BD"/>
    <w:rsid w:val="002122AE"/>
    <w:rsid w:val="00212384"/>
    <w:rsid w:val="002140A1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13F6"/>
    <w:rsid w:val="005121A4"/>
    <w:rsid w:val="00512ACE"/>
    <w:rsid w:val="00512DCC"/>
    <w:rsid w:val="00515D8E"/>
    <w:rsid w:val="005161A3"/>
    <w:rsid w:val="005172D5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3F32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BD3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2E98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488E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207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5469-D1D8-43E4-BEC6-C91E8CB6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8936</Words>
  <Characters>53617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62429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2022-10-07T11:01:00Z</dcterms:created>
  <dcterms:modified xsi:type="dcterms:W3CDTF">2022-10-07T11:01:00Z</dcterms:modified>
</cp:coreProperties>
</file>